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89BA4" w14:textId="2B611985" w:rsidR="00BB2241" w:rsidRPr="00477FBF" w:rsidRDefault="00BB2241" w:rsidP="00477FBF">
      <w:pPr>
        <w:pStyle w:val="Heading1"/>
        <w:rPr>
          <w:b/>
          <w:bCs/>
        </w:rPr>
      </w:pPr>
      <w:r w:rsidRPr="00477FBF">
        <w:rPr>
          <w:b/>
          <w:bCs/>
        </w:rPr>
        <w:t>Background</w:t>
      </w:r>
    </w:p>
    <w:p w14:paraId="3474F1B8" w14:textId="6591327F" w:rsidR="00BB2241" w:rsidRDefault="002F07EC" w:rsidP="00273387">
      <w:pPr>
        <w:spacing w:line="240" w:lineRule="auto"/>
        <w:jc w:val="both"/>
      </w:pPr>
      <w:r>
        <w:t>Industry-standard recommendations are</w:t>
      </w:r>
      <w:r w:rsidR="00AC7135">
        <w:t xml:space="preserve"> </w:t>
      </w:r>
      <w:r w:rsidR="009050D2">
        <w:t>to increase outside air flow</w:t>
      </w:r>
      <w:r w:rsidR="00D073CA">
        <w:t xml:space="preserve"> and reduce </w:t>
      </w:r>
      <w:r>
        <w:t>(re-)</w:t>
      </w:r>
      <w:r w:rsidR="00D073CA">
        <w:t xml:space="preserve">circulation </w:t>
      </w:r>
      <w:r>
        <w:t>of air with</w:t>
      </w:r>
      <w:r w:rsidR="00D073CA">
        <w:t xml:space="preserve">in </w:t>
      </w:r>
      <w:r>
        <w:t>buildings</w:t>
      </w:r>
      <w:r w:rsidR="00D073CA">
        <w:t>,</w:t>
      </w:r>
      <w:r w:rsidR="009050D2">
        <w:t xml:space="preserve"> </w:t>
      </w:r>
      <w:r w:rsidR="00AC7135">
        <w:t xml:space="preserve">in order to reduce </w:t>
      </w:r>
      <w:r w:rsidR="00AC4D54">
        <w:t>SARS-CoV-2 concentration</w:t>
      </w:r>
      <w:r w:rsidR="00AC4D54">
        <w:rPr>
          <w:rStyle w:val="FootnoteReference"/>
        </w:rPr>
        <w:footnoteReference w:id="1"/>
      </w:r>
      <w:r w:rsidR="00D073CA">
        <w:t>.</w:t>
      </w:r>
      <w:r w:rsidR="00AC7135">
        <w:t xml:space="preserve"> This </w:t>
      </w:r>
      <w:r w:rsidR="009050D2">
        <w:t xml:space="preserve">ventilation calculator was developed to help building </w:t>
      </w:r>
      <w:r w:rsidR="00AC7135">
        <w:t>operators</w:t>
      </w:r>
      <w:r w:rsidR="009050D2">
        <w:t xml:space="preserve"> </w:t>
      </w:r>
      <w:r>
        <w:t>assess the impact of these recommendations on their HVAC systems.</w:t>
      </w:r>
      <w:r w:rsidR="000B139B">
        <w:t xml:space="preserve"> The t</w:t>
      </w:r>
      <w:r w:rsidR="000B139B" w:rsidRPr="000B139B">
        <w:t xml:space="preserve">ool has been derived from an existing </w:t>
      </w:r>
      <w:r w:rsidR="00EE54E1">
        <w:t xml:space="preserve">building retuning energy savings </w:t>
      </w:r>
      <w:r w:rsidR="000B139B">
        <w:t xml:space="preserve">calculator </w:t>
      </w:r>
      <w:r w:rsidR="000B139B" w:rsidRPr="000B139B">
        <w:t>created by CUNY’s Building Performance Lab</w:t>
      </w:r>
      <w:r w:rsidR="000B139B" w:rsidRPr="000B139B">
        <w:rPr>
          <w:b/>
          <w:bCs/>
        </w:rPr>
        <w:t xml:space="preserve"> </w:t>
      </w:r>
      <w:r w:rsidR="000B139B" w:rsidRPr="000B139B">
        <w:t>to support Load Management efforts.</w:t>
      </w:r>
      <w:r w:rsidR="000B139B">
        <w:t xml:space="preserve"> </w:t>
      </w:r>
      <w:r>
        <w:t xml:space="preserve">It enables the user to </w:t>
      </w:r>
      <w:r w:rsidR="009050D2">
        <w:t>calculate the heating</w:t>
      </w:r>
      <w:r w:rsidR="00AC4D54">
        <w:t xml:space="preserve"> load (in </w:t>
      </w:r>
      <w:proofErr w:type="spellStart"/>
      <w:r w:rsidR="00AC4D54">
        <w:t>kBTU</w:t>
      </w:r>
      <w:proofErr w:type="spellEnd"/>
      <w:r w:rsidR="00580EAD">
        <w:t>/</w:t>
      </w:r>
      <w:proofErr w:type="spellStart"/>
      <w:r w:rsidR="00580EAD">
        <w:t>hr</w:t>
      </w:r>
      <w:proofErr w:type="spellEnd"/>
      <w:r w:rsidR="00AC4D54">
        <w:t>)</w:t>
      </w:r>
      <w:r w:rsidR="009050D2">
        <w:t xml:space="preserve"> and cooling loads </w:t>
      </w:r>
      <w:r w:rsidR="00AC4D54">
        <w:t xml:space="preserve">(in Tons) </w:t>
      </w:r>
      <w:r w:rsidR="009050D2">
        <w:t xml:space="preserve">needed to satisfy </w:t>
      </w:r>
      <w:r w:rsidR="00AC4D54">
        <w:t>discharge</w:t>
      </w:r>
      <w:r w:rsidR="009050D2">
        <w:t xml:space="preserve"> air setpoints </w:t>
      </w:r>
      <w:r w:rsidR="00AC4D54">
        <w:t>when more outside air is used</w:t>
      </w:r>
      <w:r>
        <w:t xml:space="preserve"> in a building</w:t>
      </w:r>
      <w:r w:rsidR="00AC4D54">
        <w:t xml:space="preserve">. </w:t>
      </w:r>
      <w:r>
        <w:t>Loads are</w:t>
      </w:r>
      <w:r w:rsidR="00AC4D54">
        <w:t xml:space="preserve"> calculated </w:t>
      </w:r>
      <w:r w:rsidR="009050D2">
        <w:t xml:space="preserve">over a range of outside air </w:t>
      </w:r>
      <w:r w:rsidR="00AC4D54">
        <w:t xml:space="preserve">temperatures, outside air enthalpies and outside air </w:t>
      </w:r>
      <w:r w:rsidR="008C139C">
        <w:t>fractions.</w:t>
      </w:r>
      <w:r w:rsidR="00AC4D54">
        <w:t xml:space="preserve"> </w:t>
      </w:r>
    </w:p>
    <w:p w14:paraId="6D9A2CCF" w14:textId="2FCB7555" w:rsidR="00BB2241" w:rsidRPr="00477FBF" w:rsidRDefault="00BB2241" w:rsidP="00477FBF">
      <w:pPr>
        <w:pStyle w:val="Heading1"/>
        <w:rPr>
          <w:b/>
          <w:bCs/>
        </w:rPr>
      </w:pPr>
      <w:r w:rsidRPr="00477FBF">
        <w:rPr>
          <w:b/>
          <w:bCs/>
        </w:rPr>
        <w:t>How it works</w:t>
      </w:r>
    </w:p>
    <w:p w14:paraId="7CBF5C06" w14:textId="16F1036C" w:rsidR="00640424" w:rsidRDefault="001E221C" w:rsidP="00273387">
      <w:pPr>
        <w:spacing w:line="240" w:lineRule="auto"/>
        <w:jc w:val="both"/>
      </w:pPr>
      <w:r>
        <w:t xml:space="preserve">This </w:t>
      </w:r>
      <w:r w:rsidR="00BB2241">
        <w:t>calculator</w:t>
      </w:r>
      <w:r>
        <w:t xml:space="preserve"> requires a series of inputs that can be found from equipment schedules, </w:t>
      </w:r>
      <w:r w:rsidR="008C139C">
        <w:t xml:space="preserve">BAS data, </w:t>
      </w:r>
      <w:r>
        <w:t>sequences of operation</w:t>
      </w:r>
      <w:r w:rsidR="008C139C">
        <w:t>,</w:t>
      </w:r>
      <w:r>
        <w:t xml:space="preserve"> and operat</w:t>
      </w:r>
      <w:r w:rsidR="008C139C">
        <w:t>ors’</w:t>
      </w:r>
      <w:r>
        <w:t xml:space="preserve"> discretion. </w:t>
      </w:r>
    </w:p>
    <w:p w14:paraId="214E4478" w14:textId="0CACA1E5" w:rsidR="00981397" w:rsidRDefault="00981397" w:rsidP="00273387">
      <w:pPr>
        <w:spacing w:after="0" w:line="240" w:lineRule="auto"/>
      </w:pPr>
      <w:r w:rsidRPr="00F61C3C">
        <w:rPr>
          <w:b/>
          <w:bCs/>
        </w:rPr>
        <w:t>Input</w:t>
      </w:r>
      <w:r w:rsidR="00F61C3C" w:rsidRPr="00F61C3C">
        <w:rPr>
          <w:b/>
          <w:bCs/>
        </w:rPr>
        <w:t xml:space="preserve"> tab</w:t>
      </w:r>
    </w:p>
    <w:p w14:paraId="47B9E2CF" w14:textId="0B967F61" w:rsidR="006D2865" w:rsidRDefault="006D2865" w:rsidP="00273387">
      <w:pPr>
        <w:pStyle w:val="ListParagraph"/>
        <w:numPr>
          <w:ilvl w:val="0"/>
          <w:numId w:val="1"/>
        </w:numPr>
        <w:spacing w:line="240" w:lineRule="auto"/>
      </w:pPr>
      <w:r w:rsidRPr="00981397">
        <w:rPr>
          <w:i/>
          <w:iCs/>
        </w:rPr>
        <w:t>For general use</w:t>
      </w:r>
      <w:r>
        <w:t xml:space="preserve">: </w:t>
      </w:r>
      <w:r w:rsidR="00BB2241">
        <w:t>I</w:t>
      </w:r>
      <w:r w:rsidR="00FD0120">
        <w:t xml:space="preserve">nput the </w:t>
      </w:r>
      <w:r>
        <w:t>time</w:t>
      </w:r>
      <w:r w:rsidR="00981397">
        <w:t xml:space="preserve"> of day</w:t>
      </w:r>
      <w:r>
        <w:t xml:space="preserve"> when HVAC </w:t>
      </w:r>
      <w:r w:rsidR="00981397">
        <w:t>operation starts</w:t>
      </w:r>
      <w:r>
        <w:t xml:space="preserve"> and ends. </w:t>
      </w:r>
      <w:r w:rsidR="00981397">
        <w:t xml:space="preserve">Also input </w:t>
      </w:r>
      <w:r>
        <w:t xml:space="preserve">CFM </w:t>
      </w:r>
      <w:r w:rsidR="00AC4D54">
        <w:t>in the supply duct</w:t>
      </w:r>
      <w:r w:rsidR="00AA3A8D">
        <w:t>, space area, ceiling height,</w:t>
      </w:r>
      <w:r w:rsidR="00AC4D54">
        <w:t xml:space="preserve"> </w:t>
      </w:r>
      <w:r w:rsidR="001E221C">
        <w:t xml:space="preserve">and fuel type used for heating. </w:t>
      </w:r>
    </w:p>
    <w:p w14:paraId="1DC6A4CF" w14:textId="6E6AF077" w:rsidR="006D2865" w:rsidRDefault="006D2865" w:rsidP="00273387">
      <w:pPr>
        <w:pStyle w:val="ListParagraph"/>
        <w:numPr>
          <w:ilvl w:val="0"/>
          <w:numId w:val="1"/>
        </w:numPr>
        <w:spacing w:line="240" w:lineRule="auto"/>
      </w:pPr>
      <w:r w:rsidRPr="00981397">
        <w:rPr>
          <w:i/>
          <w:iCs/>
        </w:rPr>
        <w:t>For the heating season</w:t>
      </w:r>
      <w:r w:rsidR="00485152">
        <w:t>:</w:t>
      </w:r>
      <w:r>
        <w:t xml:space="preserve"> </w:t>
      </w:r>
      <w:r w:rsidR="00640424">
        <w:t>I</w:t>
      </w:r>
      <w:r>
        <w:t xml:space="preserve">nput the unit’s </w:t>
      </w:r>
      <w:r w:rsidR="00640424">
        <w:t xml:space="preserve">expected </w:t>
      </w:r>
      <w:r>
        <w:t>return air temperature</w:t>
      </w:r>
      <w:r w:rsidR="00640424">
        <w:t xml:space="preserve"> (RAT)</w:t>
      </w:r>
      <w:r>
        <w:t>, discharge air temperature setpoint</w:t>
      </w:r>
      <w:r w:rsidR="00640424">
        <w:t xml:space="preserve"> (DATSP) and </w:t>
      </w:r>
      <w:r w:rsidR="00112EF8">
        <w:t>heating</w:t>
      </w:r>
      <w:r>
        <w:t xml:space="preserve"> efficiency. </w:t>
      </w:r>
    </w:p>
    <w:p w14:paraId="03DE8C11" w14:textId="430EEC0F" w:rsidR="00103530" w:rsidRDefault="006D2865" w:rsidP="00273387">
      <w:pPr>
        <w:pStyle w:val="ListParagraph"/>
        <w:numPr>
          <w:ilvl w:val="0"/>
          <w:numId w:val="1"/>
        </w:numPr>
        <w:spacing w:line="240" w:lineRule="auto"/>
      </w:pPr>
      <w:r w:rsidRPr="00981397">
        <w:rPr>
          <w:i/>
          <w:iCs/>
        </w:rPr>
        <w:t>For</w:t>
      </w:r>
      <w:r w:rsidR="00981397">
        <w:rPr>
          <w:i/>
          <w:iCs/>
        </w:rPr>
        <w:t xml:space="preserve"> the</w:t>
      </w:r>
      <w:r w:rsidRPr="00981397">
        <w:rPr>
          <w:i/>
          <w:iCs/>
        </w:rPr>
        <w:t xml:space="preserve"> cooling season</w:t>
      </w:r>
      <w:r w:rsidR="00485152">
        <w:t xml:space="preserve">: </w:t>
      </w:r>
      <w:r w:rsidR="00640424">
        <w:t>Input the unit’s expected return air temperature (RAT), discharge air temperature setpoin</w:t>
      </w:r>
      <w:r w:rsidR="00112EF8">
        <w:t>t (DATSP) and cooling</w:t>
      </w:r>
      <w:r w:rsidR="00640424">
        <w:t xml:space="preserve"> efficiency.</w:t>
      </w:r>
    </w:p>
    <w:p w14:paraId="640AE8F7" w14:textId="7B420B4C" w:rsidR="00103530" w:rsidRDefault="00103530" w:rsidP="00273387">
      <w:pPr>
        <w:pStyle w:val="ListParagraph"/>
        <w:numPr>
          <w:ilvl w:val="0"/>
          <w:numId w:val="1"/>
        </w:numPr>
        <w:spacing w:line="240" w:lineRule="auto"/>
      </w:pPr>
      <w:r>
        <w:rPr>
          <w:i/>
          <w:iCs/>
        </w:rPr>
        <w:t xml:space="preserve">For </w:t>
      </w:r>
      <w:r w:rsidR="00580EAD">
        <w:rPr>
          <w:i/>
          <w:iCs/>
        </w:rPr>
        <w:t>a</w:t>
      </w:r>
      <w:r>
        <w:rPr>
          <w:i/>
          <w:iCs/>
        </w:rPr>
        <w:t xml:space="preserve">ir </w:t>
      </w:r>
      <w:r w:rsidR="00580EAD">
        <w:rPr>
          <w:i/>
          <w:iCs/>
        </w:rPr>
        <w:t>f</w:t>
      </w:r>
      <w:r>
        <w:rPr>
          <w:i/>
          <w:iCs/>
        </w:rPr>
        <w:t>lush</w:t>
      </w:r>
      <w:r w:rsidR="00580EAD">
        <w:rPr>
          <w:i/>
          <w:iCs/>
        </w:rPr>
        <w:t xml:space="preserve"> use</w:t>
      </w:r>
      <w:r w:rsidRPr="00103530">
        <w:t>:</w:t>
      </w:r>
      <w:r w:rsidR="00F56054">
        <w:t xml:space="preserve"> Input f</w:t>
      </w:r>
      <w:r>
        <w:t>ilter MERV rating.</w:t>
      </w:r>
    </w:p>
    <w:p w14:paraId="288741EA" w14:textId="47CAE334" w:rsidR="00BB2241" w:rsidRDefault="00706343" w:rsidP="00273387">
      <w:pPr>
        <w:spacing w:line="240" w:lineRule="auto"/>
      </w:pPr>
      <w:r w:rsidRPr="00706343">
        <w:rPr>
          <w:b/>
          <w:bCs/>
        </w:rPr>
        <w:t>Outputs tabs</w:t>
      </w:r>
      <w:r>
        <w:t xml:space="preserve"> </w:t>
      </w:r>
    </w:p>
    <w:p w14:paraId="5F94D4E9" w14:textId="47837A68" w:rsidR="00273387" w:rsidRPr="00273387" w:rsidRDefault="00580EAD" w:rsidP="00273387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i/>
        </w:rPr>
      </w:pPr>
      <w:r>
        <w:rPr>
          <w:b/>
          <w:i/>
        </w:rPr>
        <w:t>“</w:t>
      </w:r>
      <w:r w:rsidR="00273387" w:rsidRPr="00273387">
        <w:rPr>
          <w:b/>
          <w:i/>
        </w:rPr>
        <w:t>Ventilation Sc</w:t>
      </w:r>
      <w:r w:rsidR="004234C7">
        <w:rPr>
          <w:b/>
          <w:i/>
        </w:rPr>
        <w:t>e</w:t>
      </w:r>
      <w:r w:rsidR="00273387" w:rsidRPr="00273387">
        <w:rPr>
          <w:b/>
          <w:i/>
        </w:rPr>
        <w:t>narios</w:t>
      </w:r>
      <w:r>
        <w:rPr>
          <w:b/>
          <w:i/>
        </w:rPr>
        <w:t>” tab</w:t>
      </w:r>
      <w:r w:rsidR="00273387" w:rsidRPr="00273387">
        <w:rPr>
          <w:i/>
        </w:rPr>
        <w:t xml:space="preserve">:  </w:t>
      </w:r>
      <w:r w:rsidR="00273387">
        <w:t xml:space="preserve">Shows achievable air exchange rates for different weather scenarios based on system’s capacity. </w:t>
      </w:r>
    </w:p>
    <w:p w14:paraId="28CFF827" w14:textId="37F1FC3F" w:rsidR="00091809" w:rsidRDefault="00580EAD" w:rsidP="00273387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>
        <w:rPr>
          <w:b/>
          <w:bCs/>
          <w:i/>
          <w:iCs/>
        </w:rPr>
        <w:t>“</w:t>
      </w:r>
      <w:r w:rsidR="00091809" w:rsidRPr="00482BA2">
        <w:rPr>
          <w:b/>
          <w:bCs/>
          <w:i/>
          <w:iCs/>
        </w:rPr>
        <w:t>Average Heating Load vs OAT</w:t>
      </w:r>
      <w:r>
        <w:rPr>
          <w:b/>
          <w:bCs/>
          <w:i/>
          <w:iCs/>
        </w:rPr>
        <w:t>”</w:t>
      </w:r>
      <w:r w:rsidR="00482BA2" w:rsidRPr="00482BA2">
        <w:rPr>
          <w:b/>
          <w:bCs/>
          <w:i/>
          <w:iCs/>
        </w:rPr>
        <w:t xml:space="preserve"> tab</w:t>
      </w:r>
      <w:r w:rsidR="00482BA2">
        <w:t xml:space="preserve">:  </w:t>
      </w:r>
      <w:r w:rsidR="00091809">
        <w:t>Shows the average load for heating outside air at specific temperatures and outside air fraction (air changes per hour).</w:t>
      </w:r>
    </w:p>
    <w:p w14:paraId="651A40BD" w14:textId="1EE7C024" w:rsidR="00BB2241" w:rsidRDefault="00580EAD" w:rsidP="00273387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>
        <w:rPr>
          <w:b/>
          <w:bCs/>
          <w:i/>
          <w:iCs/>
        </w:rPr>
        <w:t>“</w:t>
      </w:r>
      <w:r w:rsidR="00BB2241" w:rsidRPr="00482BA2">
        <w:rPr>
          <w:b/>
          <w:bCs/>
          <w:i/>
          <w:iCs/>
        </w:rPr>
        <w:t>Average Cooling Load vs OAT</w:t>
      </w:r>
      <w:r>
        <w:rPr>
          <w:b/>
          <w:bCs/>
          <w:i/>
          <w:iCs/>
        </w:rPr>
        <w:t>”</w:t>
      </w:r>
      <w:r w:rsidR="00482BA2" w:rsidRPr="00482BA2">
        <w:rPr>
          <w:b/>
          <w:bCs/>
          <w:i/>
          <w:iCs/>
        </w:rPr>
        <w:t xml:space="preserve"> tab</w:t>
      </w:r>
      <w:r w:rsidR="00482BA2">
        <w:t xml:space="preserve">: </w:t>
      </w:r>
      <w:r w:rsidR="00BB2241">
        <w:t xml:space="preserve">Shows the </w:t>
      </w:r>
      <w:r w:rsidR="00363867">
        <w:t xml:space="preserve">average </w:t>
      </w:r>
      <w:r w:rsidR="00640424">
        <w:t>load</w:t>
      </w:r>
      <w:r w:rsidR="00BB2241">
        <w:t xml:space="preserve"> </w:t>
      </w:r>
      <w:r w:rsidR="00363867">
        <w:t xml:space="preserve">for </w:t>
      </w:r>
      <w:r w:rsidR="00640424">
        <w:t xml:space="preserve">cooling outside air at specific temperatures </w:t>
      </w:r>
      <w:r w:rsidR="00091809">
        <w:t>and</w:t>
      </w:r>
      <w:r w:rsidR="00640424">
        <w:t xml:space="preserve"> </w:t>
      </w:r>
      <w:r w:rsidR="00363867">
        <w:t>outside air fraction</w:t>
      </w:r>
      <w:r w:rsidR="00323BD4">
        <w:t xml:space="preserve"> (air changes per hour)</w:t>
      </w:r>
      <w:r w:rsidR="00640424">
        <w:t>.</w:t>
      </w:r>
    </w:p>
    <w:p w14:paraId="00D5C770" w14:textId="274345E4" w:rsidR="00640424" w:rsidRDefault="00580EAD" w:rsidP="00273387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>
        <w:rPr>
          <w:b/>
          <w:bCs/>
          <w:i/>
          <w:iCs/>
        </w:rPr>
        <w:t>“</w:t>
      </w:r>
      <w:r w:rsidR="00BB2241" w:rsidRPr="00482BA2">
        <w:rPr>
          <w:b/>
          <w:bCs/>
          <w:i/>
          <w:iCs/>
        </w:rPr>
        <w:t>Average Cooling Load vs Enthalpy</w:t>
      </w:r>
      <w:r>
        <w:rPr>
          <w:b/>
          <w:bCs/>
          <w:i/>
          <w:iCs/>
        </w:rPr>
        <w:t>”</w:t>
      </w:r>
      <w:r w:rsidR="00482BA2" w:rsidRPr="00482BA2">
        <w:rPr>
          <w:b/>
          <w:bCs/>
          <w:i/>
          <w:iCs/>
        </w:rPr>
        <w:t xml:space="preserve"> tab</w:t>
      </w:r>
      <w:r w:rsidR="00482BA2">
        <w:t xml:space="preserve">:  </w:t>
      </w:r>
      <w:r w:rsidR="00640424">
        <w:t xml:space="preserve">Shows the </w:t>
      </w:r>
      <w:r w:rsidR="00363867">
        <w:t xml:space="preserve">average </w:t>
      </w:r>
      <w:r w:rsidR="00640424">
        <w:t xml:space="preserve">cooling load </w:t>
      </w:r>
      <w:r w:rsidR="00363867">
        <w:t xml:space="preserve">for </w:t>
      </w:r>
      <w:r w:rsidR="00640424">
        <w:t xml:space="preserve">cooling outside air at specific enthalpies </w:t>
      </w:r>
      <w:r w:rsidR="00091809">
        <w:t>and</w:t>
      </w:r>
      <w:r w:rsidR="00640424">
        <w:t xml:space="preserve"> </w:t>
      </w:r>
      <w:r w:rsidR="008C139C">
        <w:t>outside air fraction</w:t>
      </w:r>
      <w:r w:rsidR="00323BD4">
        <w:t xml:space="preserve"> (air changes per hour)</w:t>
      </w:r>
      <w:r w:rsidR="00640424">
        <w:t>.</w:t>
      </w:r>
    </w:p>
    <w:p w14:paraId="77884B46" w14:textId="3AB193E0" w:rsidR="00F61C3C" w:rsidRDefault="00580EAD" w:rsidP="00273387">
      <w:pPr>
        <w:pStyle w:val="ListParagraph"/>
        <w:numPr>
          <w:ilvl w:val="0"/>
          <w:numId w:val="5"/>
        </w:numPr>
        <w:spacing w:line="240" w:lineRule="auto"/>
      </w:pPr>
      <w:r>
        <w:rPr>
          <w:b/>
          <w:bCs/>
          <w:i/>
          <w:iCs/>
        </w:rPr>
        <w:t>“</w:t>
      </w:r>
      <w:r w:rsidR="00F61C3C" w:rsidRPr="00482BA2">
        <w:rPr>
          <w:b/>
          <w:bCs/>
          <w:i/>
          <w:iCs/>
        </w:rPr>
        <w:t>Energy Consumption</w:t>
      </w:r>
      <w:r>
        <w:rPr>
          <w:b/>
          <w:bCs/>
          <w:i/>
          <w:iCs/>
        </w:rPr>
        <w:t>”</w:t>
      </w:r>
      <w:r w:rsidR="00F61C3C" w:rsidRPr="00482BA2">
        <w:rPr>
          <w:b/>
          <w:bCs/>
          <w:i/>
          <w:iCs/>
        </w:rPr>
        <w:t xml:space="preserve"> </w:t>
      </w:r>
      <w:r w:rsidR="00482BA2" w:rsidRPr="00482BA2">
        <w:rPr>
          <w:b/>
          <w:bCs/>
          <w:i/>
          <w:iCs/>
        </w:rPr>
        <w:t>tab</w:t>
      </w:r>
      <w:r w:rsidR="00482BA2">
        <w:t xml:space="preserve">:  </w:t>
      </w:r>
      <w:r w:rsidR="00F61C3C">
        <w:t>Shows two graphs: Annualized cooling energy consumption, energy cost, and CO</w:t>
      </w:r>
      <w:r w:rsidR="00F61C3C" w:rsidRPr="00482BA2">
        <w:rPr>
          <w:vertAlign w:val="subscript"/>
        </w:rPr>
        <w:t>2</w:t>
      </w:r>
      <w:r w:rsidR="00F61C3C">
        <w:t xml:space="preserve"> Equivalent GHG emissions for specific outside air fractions plus annualized heating energy consumption and CO</w:t>
      </w:r>
      <w:r w:rsidR="00F61C3C" w:rsidRPr="00482BA2">
        <w:rPr>
          <w:vertAlign w:val="subscript"/>
        </w:rPr>
        <w:t>2</w:t>
      </w:r>
      <w:r w:rsidR="00F61C3C">
        <w:t xml:space="preserve"> equivalent GHG emissions for specific outside air fractions (air changes per hour). </w:t>
      </w:r>
    </w:p>
    <w:p w14:paraId="6519F381" w14:textId="5D32C568" w:rsidR="00103530" w:rsidRDefault="00580EAD" w:rsidP="00273387">
      <w:pPr>
        <w:pStyle w:val="ListParagraph"/>
        <w:numPr>
          <w:ilvl w:val="0"/>
          <w:numId w:val="5"/>
        </w:numPr>
        <w:spacing w:line="240" w:lineRule="auto"/>
      </w:pPr>
      <w:r>
        <w:rPr>
          <w:b/>
          <w:bCs/>
          <w:i/>
          <w:iCs/>
        </w:rPr>
        <w:t>“</w:t>
      </w:r>
      <w:r w:rsidR="00103530">
        <w:rPr>
          <w:b/>
          <w:bCs/>
          <w:i/>
          <w:iCs/>
        </w:rPr>
        <w:t>Air Flush</w:t>
      </w:r>
      <w:r>
        <w:rPr>
          <w:b/>
          <w:bCs/>
          <w:i/>
          <w:iCs/>
        </w:rPr>
        <w:t>” tab</w:t>
      </w:r>
      <w:r w:rsidR="00103530" w:rsidRPr="00103530">
        <w:t>:</w:t>
      </w:r>
      <w:r w:rsidR="00103530">
        <w:t xml:space="preserve"> Shows aerosol removal time for different outside air fraction</w:t>
      </w:r>
      <w:r w:rsidR="008A56E0">
        <w:t>s (outside air changes per hour</w:t>
      </w:r>
      <w:r w:rsidR="00103530">
        <w:t xml:space="preserve">) and removal efficiencies. </w:t>
      </w:r>
    </w:p>
    <w:p w14:paraId="7FCC1C6A" w14:textId="3A88D9BF" w:rsidR="00A426DB" w:rsidRDefault="00A426DB" w:rsidP="00273387">
      <w:pPr>
        <w:pStyle w:val="ListParagraph"/>
        <w:numPr>
          <w:ilvl w:val="0"/>
          <w:numId w:val="5"/>
        </w:numPr>
        <w:spacing w:line="240" w:lineRule="auto"/>
      </w:pPr>
      <w:r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CO2 Risk </w:t>
      </w:r>
      <w:proofErr w:type="spellStart"/>
      <w:r>
        <w:rPr>
          <w:b/>
          <w:bCs/>
          <w:i/>
          <w:iCs/>
        </w:rPr>
        <w:t>Assesment</w:t>
      </w:r>
      <w:proofErr w:type="spellEnd"/>
      <w:r>
        <w:rPr>
          <w:b/>
          <w:bCs/>
          <w:i/>
          <w:iCs/>
        </w:rPr>
        <w:t xml:space="preserve">” tab: </w:t>
      </w:r>
      <w:bookmarkStart w:id="0" w:name="_GoBack"/>
      <w:r w:rsidRPr="00A426DB">
        <w:t>Shows the amount required to reach the user defined CO2 critical threshold for different ventilation and weather scenarios.</w:t>
      </w:r>
      <w:bookmarkEnd w:id="0"/>
    </w:p>
    <w:p w14:paraId="5A72A66D" w14:textId="2A74CD6D" w:rsidR="00FC39E2" w:rsidRPr="00592285" w:rsidRDefault="00592285" w:rsidP="00273387">
      <w:pPr>
        <w:spacing w:line="240" w:lineRule="auto"/>
      </w:pPr>
      <w:r>
        <w:rPr>
          <w:b/>
          <w:bCs/>
        </w:rPr>
        <w:lastRenderedPageBreak/>
        <w:t xml:space="preserve">Other tabs: </w:t>
      </w:r>
      <w:r>
        <w:t xml:space="preserve"> The last three tabs have values for calculations</w:t>
      </w:r>
      <w:r w:rsidR="00FC39E2">
        <w:t xml:space="preserve"> (Cooling Season calculations; Heating Season calculations; Dropdown Contents + Conversion)</w:t>
      </w:r>
      <w:r>
        <w:t>; no user inputs required.</w:t>
      </w:r>
    </w:p>
    <w:sectPr w:rsidR="00FC39E2" w:rsidRPr="005922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0969F" w14:textId="77777777" w:rsidR="004F3DF8" w:rsidRDefault="004F3DF8" w:rsidP="00BB2241">
      <w:pPr>
        <w:spacing w:after="0" w:line="240" w:lineRule="auto"/>
      </w:pPr>
      <w:r>
        <w:separator/>
      </w:r>
    </w:p>
  </w:endnote>
  <w:endnote w:type="continuationSeparator" w:id="0">
    <w:p w14:paraId="51895644" w14:textId="77777777" w:rsidR="004F3DF8" w:rsidRDefault="004F3DF8" w:rsidP="00BB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019B5" w14:textId="31E2410D" w:rsidR="00BB2241" w:rsidRDefault="00BB2241">
    <w:pPr>
      <w:pStyle w:val="Footer"/>
    </w:pPr>
    <w:r>
      <w:rPr>
        <w:noProof/>
      </w:rPr>
      <w:drawing>
        <wp:inline distT="0" distB="0" distL="0" distR="0" wp14:anchorId="67645BD0" wp14:editId="10232A36">
          <wp:extent cx="1228725" cy="3082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DCAS_Logo_Final_2018-HZDecor2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3757" cy="319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D04C72">
      <w:rPr>
        <w:sz w:val="20"/>
        <w:szCs w:val="20"/>
      </w:rPr>
      <w:t>7/2020</w:t>
    </w:r>
    <w:r>
      <w:rPr>
        <w:sz w:val="20"/>
        <w:szCs w:val="20"/>
      </w:rPr>
      <w:t>;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70E2" w14:textId="77777777" w:rsidR="004F3DF8" w:rsidRDefault="004F3DF8" w:rsidP="00BB2241">
      <w:pPr>
        <w:spacing w:after="0" w:line="240" w:lineRule="auto"/>
      </w:pPr>
      <w:r>
        <w:separator/>
      </w:r>
    </w:p>
  </w:footnote>
  <w:footnote w:type="continuationSeparator" w:id="0">
    <w:p w14:paraId="6DBBD047" w14:textId="77777777" w:rsidR="004F3DF8" w:rsidRDefault="004F3DF8" w:rsidP="00BB2241">
      <w:pPr>
        <w:spacing w:after="0" w:line="240" w:lineRule="auto"/>
      </w:pPr>
      <w:r>
        <w:continuationSeparator/>
      </w:r>
    </w:p>
  </w:footnote>
  <w:footnote w:id="1">
    <w:p w14:paraId="57A2C821" w14:textId="5FC6C4DD" w:rsidR="00AC4D54" w:rsidRPr="00AC4D54" w:rsidRDefault="00AC4D54" w:rsidP="00AC4D54">
      <w:pPr>
        <w:spacing w:after="0" w:line="240" w:lineRule="auto"/>
        <w:contextualSpacing/>
        <w:jc w:val="both"/>
        <w:rPr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5"/>
          <w:szCs w:val="15"/>
        </w:rPr>
        <w:t xml:space="preserve">ASHRAE, </w:t>
      </w:r>
      <w:r w:rsidRPr="009524E4">
        <w:rPr>
          <w:sz w:val="15"/>
          <w:szCs w:val="15"/>
        </w:rPr>
        <w:t xml:space="preserve">“Building Readiness” </w:t>
      </w:r>
      <w:r w:rsidRPr="009524E4">
        <w:rPr>
          <w:i/>
          <w:sz w:val="15"/>
          <w:szCs w:val="15"/>
        </w:rPr>
        <w:t xml:space="preserve">ASHRAE Website, </w:t>
      </w:r>
      <w:hyperlink r:id="rId1" w:anchor="increasedvent" w:history="1">
        <w:r w:rsidRPr="009524E4">
          <w:rPr>
            <w:rStyle w:val="Hyperlink"/>
            <w:sz w:val="15"/>
            <w:szCs w:val="15"/>
          </w:rPr>
          <w:t>https://www.ashrae.org/technical-resources/building-readiness#increasedvent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8B12E" w14:textId="49522802" w:rsidR="00BB2241" w:rsidRDefault="00BB2241">
    <w:pPr>
      <w:pStyle w:val="Header"/>
    </w:pPr>
    <w:r>
      <w:rPr>
        <w:rFonts w:ascii="Arial" w:eastAsia="Arial" w:hAnsi="Arial" w:cs="Arial"/>
        <w:b/>
        <w:color w:val="2683C6"/>
        <w:sz w:val="28"/>
        <w:szCs w:val="28"/>
      </w:rPr>
      <w:t xml:space="preserve">Ventilation </w:t>
    </w:r>
    <w:r w:rsidR="0035209E">
      <w:rPr>
        <w:rFonts w:ascii="Arial" w:eastAsia="Arial" w:hAnsi="Arial" w:cs="Arial"/>
        <w:b/>
        <w:color w:val="2683C6"/>
        <w:sz w:val="28"/>
        <w:szCs w:val="28"/>
      </w:rPr>
      <w:t xml:space="preserve">Increase Impacts </w:t>
    </w:r>
    <w:r w:rsidR="002F07EC">
      <w:rPr>
        <w:rFonts w:ascii="Arial" w:eastAsia="Arial" w:hAnsi="Arial" w:cs="Arial"/>
        <w:b/>
        <w:color w:val="2683C6"/>
        <w:sz w:val="28"/>
        <w:szCs w:val="28"/>
      </w:rPr>
      <w:t xml:space="preserve">(VII) </w:t>
    </w:r>
    <w:r>
      <w:rPr>
        <w:rFonts w:ascii="Arial" w:eastAsia="Arial" w:hAnsi="Arial" w:cs="Arial"/>
        <w:b/>
        <w:color w:val="2683C6"/>
        <w:sz w:val="28"/>
        <w:szCs w:val="28"/>
      </w:rPr>
      <w:t>Calculator</w:t>
    </w:r>
    <w:r w:rsidR="0035209E">
      <w:rPr>
        <w:rFonts w:ascii="Arial" w:eastAsia="Arial" w:hAnsi="Arial" w:cs="Arial"/>
        <w:b/>
        <w:color w:val="2683C6"/>
        <w:sz w:val="28"/>
        <w:szCs w:val="28"/>
      </w:rPr>
      <w:t xml:space="preserve">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011"/>
    <w:multiLevelType w:val="hybridMultilevel"/>
    <w:tmpl w:val="54780166"/>
    <w:lvl w:ilvl="0" w:tplc="EC4017B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7A8F"/>
    <w:multiLevelType w:val="hybridMultilevel"/>
    <w:tmpl w:val="8C32C3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DB0"/>
    <w:multiLevelType w:val="hybridMultilevel"/>
    <w:tmpl w:val="0F28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5CC3"/>
    <w:multiLevelType w:val="hybridMultilevel"/>
    <w:tmpl w:val="866C7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B4358"/>
    <w:multiLevelType w:val="hybridMultilevel"/>
    <w:tmpl w:val="0A7E00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CF"/>
    <w:rsid w:val="00086599"/>
    <w:rsid w:val="00091809"/>
    <w:rsid w:val="000B037E"/>
    <w:rsid w:val="000B139B"/>
    <w:rsid w:val="000B201F"/>
    <w:rsid w:val="00101070"/>
    <w:rsid w:val="00103530"/>
    <w:rsid w:val="00112EF8"/>
    <w:rsid w:val="001B1A6D"/>
    <w:rsid w:val="001E221C"/>
    <w:rsid w:val="00273387"/>
    <w:rsid w:val="00280F8D"/>
    <w:rsid w:val="002A0CEC"/>
    <w:rsid w:val="002F07EC"/>
    <w:rsid w:val="003123F2"/>
    <w:rsid w:val="00323BD4"/>
    <w:rsid w:val="0035209E"/>
    <w:rsid w:val="00363867"/>
    <w:rsid w:val="003B5888"/>
    <w:rsid w:val="004234C7"/>
    <w:rsid w:val="00477FBF"/>
    <w:rsid w:val="00482BA2"/>
    <w:rsid w:val="00485152"/>
    <w:rsid w:val="004D461D"/>
    <w:rsid w:val="004F3DF8"/>
    <w:rsid w:val="005322BF"/>
    <w:rsid w:val="00573955"/>
    <w:rsid w:val="00580EAD"/>
    <w:rsid w:val="00592285"/>
    <w:rsid w:val="005D1CD8"/>
    <w:rsid w:val="005D4FD0"/>
    <w:rsid w:val="0061103B"/>
    <w:rsid w:val="00640424"/>
    <w:rsid w:val="00654C8E"/>
    <w:rsid w:val="006D2865"/>
    <w:rsid w:val="00706343"/>
    <w:rsid w:val="007437E0"/>
    <w:rsid w:val="0078435B"/>
    <w:rsid w:val="007A6E81"/>
    <w:rsid w:val="007E3A55"/>
    <w:rsid w:val="008766EA"/>
    <w:rsid w:val="008A56E0"/>
    <w:rsid w:val="008C139C"/>
    <w:rsid w:val="008E1625"/>
    <w:rsid w:val="009050D2"/>
    <w:rsid w:val="00967CFB"/>
    <w:rsid w:val="00981397"/>
    <w:rsid w:val="009D16B5"/>
    <w:rsid w:val="00A426DB"/>
    <w:rsid w:val="00A50F7B"/>
    <w:rsid w:val="00A97D53"/>
    <w:rsid w:val="00AA3A8D"/>
    <w:rsid w:val="00AB185D"/>
    <w:rsid w:val="00AC4D54"/>
    <w:rsid w:val="00AC7135"/>
    <w:rsid w:val="00AF2F39"/>
    <w:rsid w:val="00B364BE"/>
    <w:rsid w:val="00B76233"/>
    <w:rsid w:val="00BB2241"/>
    <w:rsid w:val="00C3216C"/>
    <w:rsid w:val="00C60461"/>
    <w:rsid w:val="00C722D7"/>
    <w:rsid w:val="00C83A0F"/>
    <w:rsid w:val="00C9325C"/>
    <w:rsid w:val="00CA53FF"/>
    <w:rsid w:val="00D073CA"/>
    <w:rsid w:val="00D306CF"/>
    <w:rsid w:val="00D505F2"/>
    <w:rsid w:val="00D61681"/>
    <w:rsid w:val="00D74B4E"/>
    <w:rsid w:val="00E664CF"/>
    <w:rsid w:val="00EC7267"/>
    <w:rsid w:val="00EE54E1"/>
    <w:rsid w:val="00F11D3A"/>
    <w:rsid w:val="00F23FDE"/>
    <w:rsid w:val="00F56054"/>
    <w:rsid w:val="00F61C3C"/>
    <w:rsid w:val="00F71179"/>
    <w:rsid w:val="00F91035"/>
    <w:rsid w:val="00FC39E2"/>
    <w:rsid w:val="00FD0120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499CB"/>
  <w15:chartTrackingRefBased/>
  <w15:docId w15:val="{D92A95C9-EC60-4B44-B62A-24E8C13D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06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D2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41"/>
  </w:style>
  <w:style w:type="paragraph" w:styleId="Footer">
    <w:name w:val="footer"/>
    <w:basedOn w:val="Normal"/>
    <w:link w:val="FooterChar"/>
    <w:uiPriority w:val="99"/>
    <w:unhideWhenUsed/>
    <w:rsid w:val="00BB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41"/>
  </w:style>
  <w:style w:type="paragraph" w:customStyle="1" w:styleId="Checkbox">
    <w:name w:val="Checkbox"/>
    <w:basedOn w:val="Normal"/>
    <w:qFormat/>
    <w:rsid w:val="008766EA"/>
    <w:pPr>
      <w:spacing w:before="120" w:after="0" w:line="288" w:lineRule="auto"/>
    </w:pPr>
    <w:rPr>
      <w:color w:val="595959" w:themeColor="text1" w:themeTint="A6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D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D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D54"/>
    <w:rPr>
      <w:vertAlign w:val="superscript"/>
    </w:rPr>
  </w:style>
  <w:style w:type="character" w:styleId="Hyperlink">
    <w:name w:val="Hyperlink"/>
    <w:basedOn w:val="DefaultParagraphFont"/>
    <w:uiPriority w:val="99"/>
    <w:semiHidden/>
    <w:rsid w:val="00AC4D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7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hrae.org/technical-resources/building-read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2063-AF41-412B-A5EF-01624A6B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arias</dc:creator>
  <cp:keywords/>
  <dc:description/>
  <cp:lastModifiedBy>Estatio Gutierrez (DCAS)</cp:lastModifiedBy>
  <cp:revision>2</cp:revision>
  <dcterms:created xsi:type="dcterms:W3CDTF">2020-09-22T19:22:00Z</dcterms:created>
  <dcterms:modified xsi:type="dcterms:W3CDTF">2020-09-22T19:22:00Z</dcterms:modified>
</cp:coreProperties>
</file>